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8A" w:rsidRPr="004474D3" w:rsidRDefault="001E6D8A" w:rsidP="001E6D8A">
      <w:pPr>
        <w:pStyle w:val="a9"/>
        <w:wordWrap/>
        <w:spacing w:line="240" w:lineRule="auto"/>
        <w:ind w:leftChars="100" w:left="28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4474D3">
        <w:rPr>
          <w:rFonts w:asciiTheme="minorEastAsia" w:eastAsiaTheme="minorEastAsia" w:hAnsiTheme="minorEastAsia" w:hint="eastAsia"/>
          <w:sz w:val="36"/>
          <w:szCs w:val="36"/>
        </w:rPr>
        <w:t>利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益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相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反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管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理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方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針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の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概</w:t>
      </w:r>
      <w:r w:rsidR="004474D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474D3">
        <w:rPr>
          <w:rFonts w:asciiTheme="minorEastAsia" w:eastAsiaTheme="minorEastAsia" w:hAnsiTheme="minorEastAsia" w:hint="eastAsia"/>
          <w:sz w:val="36"/>
          <w:szCs w:val="36"/>
        </w:rPr>
        <w:t>要</w:t>
      </w:r>
    </w:p>
    <w:p w:rsidR="00792FB2" w:rsidRPr="004474D3" w:rsidRDefault="00792FB2" w:rsidP="004474D3">
      <w:pPr>
        <w:pStyle w:val="a9"/>
        <w:wordWrap/>
        <w:spacing w:line="240" w:lineRule="auto"/>
        <w:ind w:leftChars="100" w:left="28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0" w:type="auto"/>
        <w:tblInd w:w="318" w:type="dxa"/>
        <w:tblLook w:val="01E0"/>
      </w:tblPr>
      <w:tblGrid>
        <w:gridCol w:w="8968"/>
      </w:tblGrid>
      <w:tr w:rsidR="001E6D8A" w:rsidRPr="00792FB2" w:rsidTr="001E6D8A">
        <w:tc>
          <w:tcPr>
            <w:tcW w:w="9450" w:type="dxa"/>
          </w:tcPr>
          <w:p w:rsidR="001E6D8A" w:rsidRPr="00792FB2" w:rsidRDefault="001E6D8A" w:rsidP="00DB27D6">
            <w:pPr>
              <w:spacing w:beforeLines="50"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2FB2">
              <w:rPr>
                <w:rFonts w:asciiTheme="minorEastAsia" w:eastAsiaTheme="minorEastAsia" w:hAnsiTheme="minorEastAsia" w:hint="eastAsia"/>
                <w:sz w:val="21"/>
                <w:szCs w:val="21"/>
              </w:rPr>
              <w:t>標茶町農業協同組合</w:t>
            </w:r>
          </w:p>
          <w:p w:rsidR="001E6D8A" w:rsidRPr="00792FB2" w:rsidRDefault="001E6D8A" w:rsidP="00664DE4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E6D8A" w:rsidRPr="00792FB2" w:rsidRDefault="004474D3" w:rsidP="001E6D8A">
            <w:pPr>
              <w:spacing w:line="0" w:lineRule="atLeast"/>
              <w:ind w:firstLineChars="112" w:firstLine="269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標茶町農業協同組合（以下、「当組合」といいます。）は、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の利益が不当に害される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無い様、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農業協同組合法，金融商品取引法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及び関係するガイドラインに基づき、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利益相反するおそれのある取引を適切に管理する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為の体制を整備し、利益相反管理方針（以下、「本方針」といいます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）を定め、その概要を次の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通り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公表します。</w:t>
            </w:r>
          </w:p>
          <w:p w:rsidR="001E6D8A" w:rsidRPr="00792FB2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E6D8A" w:rsidRPr="00792FB2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１．対象取引の範囲</w:t>
            </w:r>
          </w:p>
          <w:p w:rsidR="001E6D8A" w:rsidRPr="00792FB2" w:rsidRDefault="001E6D8A" w:rsidP="001E6D8A">
            <w:pPr>
              <w:spacing w:line="0" w:lineRule="atLeast"/>
              <w:ind w:leftChars="170" w:left="476" w:firstLine="18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本方針の対象となる「利益相反のおそれのある取引」は</w:t>
            </w:r>
            <w:r w:rsidR="004474D3">
              <w:rPr>
                <w:rFonts w:asciiTheme="minorEastAsia" w:eastAsiaTheme="minorEastAsia" w:hAnsiTheme="minorEastAsia" w:hint="eastAsia"/>
                <w:sz w:val="20"/>
                <w:szCs w:val="20"/>
              </w:rPr>
              <w:t>、当ＪＡの行う信用事業関連業務、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共済事業関連業務</w:t>
            </w:r>
            <w:r w:rsidR="004474D3">
              <w:rPr>
                <w:rFonts w:asciiTheme="minorEastAsia" w:eastAsiaTheme="minorEastAsia" w:hAnsiTheme="minorEastAsia" w:hint="eastAsia"/>
                <w:sz w:val="20"/>
                <w:szCs w:val="20"/>
              </w:rPr>
              <w:t>、又は、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金融商品関連業務に</w:t>
            </w:r>
            <w:r w:rsidR="004474D3">
              <w:rPr>
                <w:rFonts w:asciiTheme="minorEastAsia" w:eastAsiaTheme="minorEastAsia" w:hAnsiTheme="minorEastAsia" w:hint="eastAsia"/>
                <w:sz w:val="20"/>
                <w:szCs w:val="20"/>
              </w:rPr>
              <w:t>係る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</w:t>
            </w:r>
            <w:r w:rsidR="004474D3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との取引であって、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お客様の利益を不当に害するおそれのある取引をいいます。</w:t>
            </w:r>
          </w:p>
          <w:p w:rsidR="001E6D8A" w:rsidRPr="00664DE4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E6D8A" w:rsidRPr="00792FB2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２．利益相反のおそれのある取引の類型</w:t>
            </w:r>
          </w:p>
          <w:p w:rsidR="001E6D8A" w:rsidRPr="00792FB2" w:rsidRDefault="001E6D8A" w:rsidP="001E6D8A">
            <w:pPr>
              <w:spacing w:line="0" w:lineRule="atLeast"/>
              <w:ind w:leftChars="171" w:left="479" w:firstLineChars="75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「利益相反のおそれのある取引」の類型は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以下の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通り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です。</w:t>
            </w:r>
          </w:p>
          <w:p w:rsidR="001E6D8A" w:rsidRPr="00792FB2" w:rsidRDefault="001E6D8A" w:rsidP="001E6D8A">
            <w:pPr>
              <w:spacing w:line="0" w:lineRule="atLeast"/>
              <w:ind w:leftChars="171" w:left="47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（１）お客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と当</w:t>
            </w:r>
            <w:r w:rsidR="00A410BE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の間の利益が相</w:t>
            </w:r>
            <w:bookmarkStart w:id="0" w:name="_GoBack"/>
            <w:bookmarkEnd w:id="0"/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反する類型</w:t>
            </w:r>
          </w:p>
          <w:p w:rsidR="001E6D8A" w:rsidRPr="00792FB2" w:rsidRDefault="001E6D8A" w:rsidP="001E6D8A">
            <w:pPr>
              <w:spacing w:line="0" w:lineRule="atLeast"/>
              <w:ind w:leftChars="171" w:left="47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（２）当</w:t>
            </w:r>
            <w:r w:rsidR="00A410BE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の「お客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と他のお客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」との間の利益が相反する類型</w:t>
            </w:r>
          </w:p>
          <w:p w:rsidR="001E6D8A" w:rsidRPr="00792FB2" w:rsidRDefault="001E6D8A" w:rsidP="001E6D8A">
            <w:pPr>
              <w:spacing w:line="0" w:lineRule="atLeast"/>
              <w:ind w:leftChars="96" w:left="26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E6D8A" w:rsidRPr="00792FB2" w:rsidRDefault="001E6D8A" w:rsidP="001E6D8A">
            <w:pPr>
              <w:spacing w:line="0" w:lineRule="atLeast"/>
              <w:ind w:firstLine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３．利益相反の管理の方法</w:t>
            </w:r>
          </w:p>
          <w:p w:rsidR="001E6D8A" w:rsidRPr="00792FB2" w:rsidRDefault="001E6D8A" w:rsidP="001E6D8A">
            <w:pPr>
              <w:spacing w:line="0" w:lineRule="atLeast"/>
              <w:ind w:leftChars="126" w:left="353" w:firstLineChars="122" w:firstLine="29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当</w:t>
            </w:r>
            <w:r w:rsidR="00A410BE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利益相反のおそれのある取引を特定した場合について，次に掲げる方法により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当該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の保護を適正に確保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致します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1E6D8A" w:rsidRPr="00792FB2" w:rsidRDefault="001E6D8A" w:rsidP="001E6D8A">
            <w:pPr>
              <w:spacing w:line="0" w:lineRule="atLeast"/>
              <w:ind w:leftChars="85" w:left="778" w:hangingChars="225" w:hanging="5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（１）対象取引を行う部門と当該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との取引を行う部門を分離する方法</w:t>
            </w:r>
          </w:p>
          <w:p w:rsidR="001E6D8A" w:rsidRPr="00792FB2" w:rsidRDefault="001E6D8A" w:rsidP="001E6D8A">
            <w:pPr>
              <w:spacing w:line="0" w:lineRule="atLeast"/>
              <w:ind w:leftChars="85" w:left="778" w:hangingChars="225" w:hanging="5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（２）対象取引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、又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当該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との取引の条件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、若しくは、方法を変更し、又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中止する方法</w:t>
            </w:r>
          </w:p>
          <w:p w:rsidR="001E6D8A" w:rsidRPr="00792FB2" w:rsidRDefault="00664DE4" w:rsidP="001E6D8A">
            <w:pPr>
              <w:spacing w:line="0" w:lineRule="atLeast"/>
              <w:ind w:leftChars="85" w:left="778" w:hangingChars="225" w:hanging="54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（３）対象取引に伴い、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当該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の利益が不当に害されるおそれがある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事について、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当該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お客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様に適切に開示する方法（ただし、当ＪＡが負う守秘義務に違反しない場合に限ります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1E6D8A" w:rsidRPr="00792FB2" w:rsidRDefault="001E6D8A" w:rsidP="001E6D8A">
            <w:pPr>
              <w:spacing w:line="0" w:lineRule="atLeast"/>
              <w:ind w:leftChars="85" w:left="778" w:hangingChars="225" w:hanging="5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（４）その他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対象取引を適切に管理する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為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の方法</w:t>
            </w:r>
          </w:p>
          <w:p w:rsidR="001E6D8A" w:rsidRPr="00792FB2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shd w:val="pct15" w:color="auto" w:fill="FFFFFF"/>
              </w:rPr>
            </w:pPr>
          </w:p>
          <w:p w:rsidR="001E6D8A" w:rsidRPr="00792FB2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４．利益相反管理体制</w:t>
            </w:r>
          </w:p>
          <w:p w:rsidR="001E6D8A" w:rsidRPr="00792FB2" w:rsidRDefault="001E6D8A" w:rsidP="001E6D8A">
            <w:pPr>
              <w:spacing w:line="0" w:lineRule="atLeast"/>
              <w:ind w:leftChars="85" w:left="778" w:hangingChars="225" w:hanging="5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（１）当</w:t>
            </w:r>
            <w:r w:rsidR="00A410BE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利益相反のおそれのある取引の特定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利益相反管理に関する当</w:t>
            </w:r>
            <w:r w:rsidR="00A410BE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全体の管理体制を統括する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為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の利益相反管理統括部署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及びその統括者を定めます。この統括部署は、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営業部門からの影響を受けないものとします。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又、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当ＪＡの役職員に対し，本方針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及び本方針を踏まえた内部規則等に関する研修を実施し、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利益相反管理についての周知徹底に努めます。</w:t>
            </w:r>
          </w:p>
          <w:p w:rsidR="001E6D8A" w:rsidRPr="00792FB2" w:rsidRDefault="00664DE4" w:rsidP="001E6D8A">
            <w:pPr>
              <w:spacing w:line="0" w:lineRule="atLeast"/>
              <w:ind w:leftChars="85" w:left="778" w:hangingChars="225" w:hanging="54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（２）利益相反管理統括者は、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本方針に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沿って、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利益相反のおそれのある取引の特定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利益相反管理を実施すると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共に、その有効性を定期的に適切に検証し、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改善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致します</w:t>
            </w:r>
            <w:r w:rsidR="001E6D8A"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1E6D8A" w:rsidRPr="00792FB2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E6D8A" w:rsidRPr="00792FB2" w:rsidRDefault="001E6D8A" w:rsidP="001E6D8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５．利益相反管理体制の検証等</w:t>
            </w:r>
          </w:p>
          <w:p w:rsidR="001E6D8A" w:rsidRPr="00792FB2" w:rsidRDefault="001E6D8A" w:rsidP="001E6D8A">
            <w:pPr>
              <w:spacing w:line="0" w:lineRule="atLeast"/>
              <w:ind w:leftChars="171" w:left="479" w:firstLineChars="75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当</w:t>
            </w:r>
            <w:r w:rsidR="00A410BE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は、本方針に基づく利益相反管理体制について、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その適切性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及び有効性を定期的に検証し、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必要に応じて見直しを行います。</w:t>
            </w:r>
          </w:p>
          <w:p w:rsidR="001E6D8A" w:rsidRPr="00792FB2" w:rsidRDefault="001E6D8A" w:rsidP="00664DE4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64DE4" w:rsidRDefault="00792FB2" w:rsidP="00792FB2">
            <w:pPr>
              <w:spacing w:line="0" w:lineRule="atLeast"/>
              <w:ind w:leftChars="171" w:left="479" w:firstLineChars="75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以上につき、御不明な点がございましたら、標茶町農業協同組合　管理部</w:t>
            </w:r>
          </w:p>
          <w:p w:rsidR="00792FB2" w:rsidRDefault="00792FB2" w:rsidP="00664DE4">
            <w:pPr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（015-485-2103）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迄、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ご連絡</w:t>
            </w:r>
            <w:r w:rsidR="00664DE4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792FB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664DE4" w:rsidRPr="00664DE4" w:rsidRDefault="00664DE4" w:rsidP="00664DE4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64DE4" w:rsidRPr="00792FB2" w:rsidRDefault="00664DE4" w:rsidP="00664DE4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736F" w:rsidRPr="00792FB2" w:rsidRDefault="00BA736F" w:rsidP="00BA736F">
      <w:pPr>
        <w:pStyle w:val="a7"/>
        <w:rPr>
          <w:rFonts w:asciiTheme="minorEastAsia" w:eastAsiaTheme="minorEastAsia" w:hAnsiTheme="minorEastAsia"/>
          <w:sz w:val="21"/>
        </w:rPr>
      </w:pPr>
    </w:p>
    <w:sectPr w:rsidR="00BA736F" w:rsidRPr="00792FB2" w:rsidSect="0050091E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pgNumType w:start="23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8D" w:rsidRDefault="0034648D" w:rsidP="00BA736F">
      <w:r>
        <w:separator/>
      </w:r>
    </w:p>
  </w:endnote>
  <w:endnote w:type="continuationSeparator" w:id="0">
    <w:p w:rsidR="0034648D" w:rsidRDefault="0034648D" w:rsidP="00BA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D3" w:rsidRDefault="00E7789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74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74D3" w:rsidRDefault="004474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D3" w:rsidRPr="00A11D05" w:rsidRDefault="004474D3" w:rsidP="00A11D05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8D" w:rsidRDefault="0034648D" w:rsidP="00BA736F">
      <w:r>
        <w:separator/>
      </w:r>
    </w:p>
  </w:footnote>
  <w:footnote w:type="continuationSeparator" w:id="0">
    <w:p w:rsidR="0034648D" w:rsidRDefault="0034648D" w:rsidP="00BA7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ACE"/>
    <w:multiLevelType w:val="hybridMultilevel"/>
    <w:tmpl w:val="8C340A3A"/>
    <w:lvl w:ilvl="0" w:tplc="EE56DDFC">
      <w:start w:val="1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36C"/>
    <w:rsid w:val="00047E12"/>
    <w:rsid w:val="00075054"/>
    <w:rsid w:val="00097D85"/>
    <w:rsid w:val="001166B5"/>
    <w:rsid w:val="001E6D8A"/>
    <w:rsid w:val="00260FAC"/>
    <w:rsid w:val="002D21E3"/>
    <w:rsid w:val="0032261C"/>
    <w:rsid w:val="0034648D"/>
    <w:rsid w:val="00390F0D"/>
    <w:rsid w:val="004474D3"/>
    <w:rsid w:val="00494E9E"/>
    <w:rsid w:val="004F72C6"/>
    <w:rsid w:val="0050091E"/>
    <w:rsid w:val="00517E07"/>
    <w:rsid w:val="0052028F"/>
    <w:rsid w:val="005A1EBB"/>
    <w:rsid w:val="005C2F4F"/>
    <w:rsid w:val="006250C9"/>
    <w:rsid w:val="00657F37"/>
    <w:rsid w:val="00664DE4"/>
    <w:rsid w:val="006C4E72"/>
    <w:rsid w:val="006F403B"/>
    <w:rsid w:val="00792FB2"/>
    <w:rsid w:val="00844178"/>
    <w:rsid w:val="00A11D05"/>
    <w:rsid w:val="00A410BE"/>
    <w:rsid w:val="00AA3B34"/>
    <w:rsid w:val="00B055EE"/>
    <w:rsid w:val="00BA736F"/>
    <w:rsid w:val="00BB7AEA"/>
    <w:rsid w:val="00BD236C"/>
    <w:rsid w:val="00C811AE"/>
    <w:rsid w:val="00DB27D6"/>
    <w:rsid w:val="00E71351"/>
    <w:rsid w:val="00E77893"/>
    <w:rsid w:val="00ED59A4"/>
    <w:rsid w:val="00F90A9D"/>
    <w:rsid w:val="00FB2095"/>
    <w:rsid w:val="00FD266F"/>
    <w:rsid w:val="00FD4462"/>
    <w:rsid w:val="00FE18C0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6F"/>
    <w:pPr>
      <w:widowControl w:val="0"/>
      <w:jc w:val="both"/>
    </w:pPr>
    <w:rPr>
      <w:rFonts w:ascii="ＭＳ 明朝" w:eastAsia="ＭＳ 明朝" w:hAnsi="Century" w:cs="Times New Roman"/>
      <w:snapToGrid w:val="0"/>
      <w:spacing w:val="2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A736F"/>
  </w:style>
  <w:style w:type="paragraph" w:styleId="a5">
    <w:name w:val="footer"/>
    <w:basedOn w:val="a"/>
    <w:link w:val="a6"/>
    <w:unhideWhenUsed/>
    <w:rsid w:val="00BA7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A736F"/>
  </w:style>
  <w:style w:type="paragraph" w:customStyle="1" w:styleId="a7">
    <w:name w:val="雅"/>
    <w:basedOn w:val="a"/>
    <w:link w:val="Char"/>
    <w:rsid w:val="00BA736F"/>
    <w:pPr>
      <w:wordWrap w:val="0"/>
      <w:autoSpaceDE w:val="0"/>
      <w:autoSpaceDN w:val="0"/>
      <w:adjustRightInd w:val="0"/>
      <w:snapToGrid w:val="0"/>
      <w:textAlignment w:val="baseline"/>
    </w:pPr>
    <w:rPr>
      <w:spacing w:val="0"/>
      <w:szCs w:val="20"/>
    </w:rPr>
  </w:style>
  <w:style w:type="character" w:styleId="a8">
    <w:name w:val="page number"/>
    <w:basedOn w:val="a0"/>
    <w:rsid w:val="00BA736F"/>
  </w:style>
  <w:style w:type="character" w:customStyle="1" w:styleId="Char">
    <w:name w:val="雅 Char"/>
    <w:basedOn w:val="a0"/>
    <w:link w:val="a7"/>
    <w:rsid w:val="00BA736F"/>
    <w:rPr>
      <w:rFonts w:ascii="ＭＳ 明朝" w:eastAsia="ＭＳ 明朝" w:hAnsi="Century" w:cs="Times New Roman"/>
      <w:snapToGrid w:val="0"/>
      <w:kern w:val="0"/>
      <w:sz w:val="24"/>
      <w:szCs w:val="20"/>
    </w:rPr>
  </w:style>
  <w:style w:type="paragraph" w:customStyle="1" w:styleId="a9">
    <w:name w:val="一太郎"/>
    <w:rsid w:val="001E6D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table" w:styleId="aa">
    <w:name w:val="Table Grid"/>
    <w:basedOn w:val="a1"/>
    <w:rsid w:val="001E6D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DE4"/>
    <w:rPr>
      <w:rFonts w:asciiTheme="majorHAnsi" w:eastAsiaTheme="majorEastAsia" w:hAnsiTheme="majorHAnsi" w:cstheme="majorBidi"/>
      <w:snapToGrid w:val="0"/>
      <w:spacing w:val="2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6F"/>
    <w:pPr>
      <w:widowControl w:val="0"/>
      <w:jc w:val="both"/>
    </w:pPr>
    <w:rPr>
      <w:rFonts w:ascii="ＭＳ 明朝" w:eastAsia="ＭＳ 明朝" w:hAnsi="Century" w:cs="Times New Roman"/>
      <w:snapToGrid w:val="0"/>
      <w:spacing w:val="2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A736F"/>
  </w:style>
  <w:style w:type="paragraph" w:styleId="a5">
    <w:name w:val="footer"/>
    <w:basedOn w:val="a"/>
    <w:link w:val="a6"/>
    <w:unhideWhenUsed/>
    <w:rsid w:val="00BA73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A736F"/>
  </w:style>
  <w:style w:type="paragraph" w:customStyle="1" w:styleId="a7">
    <w:name w:val="雅"/>
    <w:basedOn w:val="a"/>
    <w:link w:val="Char"/>
    <w:rsid w:val="00BA736F"/>
    <w:pPr>
      <w:wordWrap w:val="0"/>
      <w:autoSpaceDE w:val="0"/>
      <w:autoSpaceDN w:val="0"/>
      <w:adjustRightInd w:val="0"/>
      <w:snapToGrid w:val="0"/>
      <w:textAlignment w:val="baseline"/>
    </w:pPr>
    <w:rPr>
      <w:spacing w:val="0"/>
      <w:szCs w:val="20"/>
    </w:rPr>
  </w:style>
  <w:style w:type="character" w:styleId="a8">
    <w:name w:val="page number"/>
    <w:basedOn w:val="a0"/>
    <w:rsid w:val="00BA736F"/>
  </w:style>
  <w:style w:type="character" w:customStyle="1" w:styleId="Char">
    <w:name w:val="雅 Char"/>
    <w:basedOn w:val="a0"/>
    <w:link w:val="a7"/>
    <w:rsid w:val="00BA736F"/>
    <w:rPr>
      <w:rFonts w:ascii="ＭＳ 明朝" w:eastAsia="ＭＳ 明朝" w:hAnsi="Century" w:cs="Times New Roman"/>
      <w:snapToGrid w:val="0"/>
      <w:kern w:val="0"/>
      <w:sz w:val="24"/>
      <w:szCs w:val="20"/>
    </w:rPr>
  </w:style>
  <w:style w:type="paragraph" w:customStyle="1" w:styleId="a9">
    <w:name w:val="一太郎"/>
    <w:rsid w:val="001E6D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table" w:styleId="aa">
    <w:name w:val="Table Grid"/>
    <w:basedOn w:val="a1"/>
    <w:rsid w:val="001E6D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4DE4"/>
    <w:rPr>
      <w:rFonts w:asciiTheme="majorHAnsi" w:eastAsiaTheme="majorEastAsia" w:hAnsiTheme="majorHAnsi" w:cstheme="majorBidi"/>
      <w:snapToGrid w:val="0"/>
      <w:spacing w:val="2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j31046</dc:creator>
  <cp:lastModifiedBy>j31039</cp:lastModifiedBy>
  <cp:revision>4</cp:revision>
  <cp:lastPrinted>2014-11-11T00:39:00Z</cp:lastPrinted>
  <dcterms:created xsi:type="dcterms:W3CDTF">2014-12-17T05:21:00Z</dcterms:created>
  <dcterms:modified xsi:type="dcterms:W3CDTF">2015-02-23T05:09:00Z</dcterms:modified>
</cp:coreProperties>
</file>